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80"/>
      </w:pPr>
    </w:p>
    <w:p>
      <w:pPr>
        <w:spacing w:after="80"/>
        <w:jc w:val="center"/>
      </w:pPr>
      <w:r>
        <w:rPr>
          <w:rFonts w:ascii="Arial" w:cs="Arial" w:eastAsia="Arial" w:hAnsi="Arial"/>
          <w:b/>
          <w:bCs/>
          <w:color w:val="1A3A5C"/>
          <w:sz w:val="56"/>
          <w:szCs w:val="56"/>
        </w:rPr>
        <w:t xml:space="preserve">SPACEWARD TRADER</w:t>
      </w:r>
    </w:p>
    <w:p>
      <w:pPr>
        <w:spacing w:after="60"/>
        <w:jc w:val="center"/>
      </w:pPr>
      <w:r>
        <w:rPr>
          <w:rFonts w:ascii="Arial" w:cs="Arial" w:eastAsia="Arial" w:hAnsi="Arial"/>
          <w:color w:val="F7931A"/>
          <w:sz w:val="28"/>
          <w:szCs w:val="28"/>
        </w:rPr>
        <w:t xml:space="preserve">Terms &amp; Conditions of Subscription</w:t>
      </w:r>
    </w:p>
    <w:p>
      <w:pPr>
        <w:spacing w:after="480"/>
        <w:jc w:val="center"/>
      </w:pPr>
      <w:r>
        <w:rPr>
          <w:rFonts w:ascii="Arial" w:cs="Arial" w:eastAsia="Arial" w:hAnsi="Arial"/>
          <w:color w:val="888888"/>
          <w:sz w:val="21"/>
          <w:szCs w:val="21"/>
        </w:rPr>
        <w:t xml:space="preserve">Effective Date: March 9, 2026</w:t>
      </w:r>
    </w:p>
    <w:p>
      <w:pPr>
        <w:pBdr>
          <w:bottom w:val="single" w:color="F7931A" w:sz="6" w:space="1"/>
        </w:pBdr>
        <w:spacing w:after="160"/>
      </w:pPr>
    </w:p>
    <w:p>
      <w:pPr>
        <w:spacing w:after="240"/>
      </w:pPr>
    </w:p>
    <w:p>
      <w:pPr>
        <w:spacing w:after="200"/>
      </w:pPr>
      <w:r>
        <w:rPr>
          <w:rFonts w:ascii="Arial" w:cs="Arial" w:eastAsia="Arial" w:hAnsi="Arial"/>
          <w:color w:val="222222"/>
          <w:sz w:val="21"/>
          <w:szCs w:val="21"/>
        </w:rPr>
        <w:t xml:space="preserve">Please read these Terms and Conditions ("Terms") carefully before purchasing a subscription to Spaceward Trader ("the Game"). By completing a subscription payment, you ("the Subscriber") agree to be bound by these Terms. If you do not agree with any part of these Terms, do not complete your purchase.</w:t>
      </w:r>
    </w:p>
    <w:p>
      <w:pPr>
        <w:pStyle w:val="Heading1"/>
        <w:spacing w:before="280" w:after="80"/>
      </w:pPr>
      <w:r>
        <w:rPr>
          <w:rFonts w:ascii="Arial" w:cs="Arial" w:eastAsia="Arial" w:hAnsi="Arial"/>
          <w:b/>
          <w:bCs/>
          <w:color w:val="1A3A5C"/>
          <w:sz w:val="26"/>
          <w:szCs w:val="26"/>
        </w:rPr>
        <w:t xml:space="preserve">1.  Parties</w:t>
      </w:r>
    </w:p>
    <w:p>
      <w:pPr>
        <w:spacing w:after="120"/>
      </w:pPr>
      <w:r>
        <w:rPr>
          <w:rFonts w:ascii="Arial" w:cs="Arial" w:eastAsia="Arial" w:hAnsi="Arial"/>
          <w:color w:val="222222"/>
          <w:sz w:val="21"/>
          <w:szCs w:val="21"/>
        </w:rPr>
        <w:t xml:space="preserve">These Terms constitute an agreement between you (the Subscriber) and the operator of Spaceward Trader ("Operator," "we," "us," or "our"), reachable at matt.nettleton@dtbtraining.com. The Game is an independent browser-based space trading game hosted on the Operator's website.</w:t>
      </w:r>
    </w:p>
    <w:p>
      <w:pPr>
        <w:pStyle w:val="Heading1"/>
        <w:spacing w:before="280" w:after="80"/>
      </w:pPr>
      <w:r>
        <w:rPr>
          <w:rFonts w:ascii="Arial" w:cs="Arial" w:eastAsia="Arial" w:hAnsi="Arial"/>
          <w:b/>
          <w:bCs/>
          <w:color w:val="1A3A5C"/>
          <w:sz w:val="26"/>
          <w:szCs w:val="26"/>
        </w:rPr>
        <w:t xml:space="preserve">2.  Subscription Terms</w:t>
      </w:r>
    </w:p>
    <w:p>
      <w:pPr>
        <w:spacing w:before="160" w:after="60"/>
      </w:pPr>
      <w:r>
        <w:rPr>
          <w:rFonts w:ascii="Arial" w:cs="Arial" w:eastAsia="Arial" w:hAnsi="Arial"/>
          <w:b/>
          <w:bCs/>
          <w:color w:val="1A3A5C"/>
          <w:sz w:val="22"/>
          <w:szCs w:val="22"/>
        </w:rPr>
        <w:t xml:space="preserve">2.1  What You Receive</w:t>
      </w:r>
    </w:p>
    <w:p>
      <w:pPr>
        <w:spacing w:after="120"/>
      </w:pPr>
      <w:r>
        <w:rPr>
          <w:rFonts w:ascii="Arial" w:cs="Arial" w:eastAsia="Arial" w:hAnsi="Arial"/>
          <w:color w:val="222222"/>
          <w:sz w:val="21"/>
          <w:szCs w:val="21"/>
        </w:rPr>
        <w:t xml:space="preserve">A paid subscription grants you a single, non-transferable access code that unlocks the online, hosted version of Spaceward Trader for the subscription period.</w:t>
      </w:r>
    </w:p>
    <w:p>
      <w:pPr>
        <w:spacing w:before="160" w:after="60"/>
      </w:pPr>
      <w:r>
        <w:rPr>
          <w:rFonts w:ascii="Arial" w:cs="Arial" w:eastAsia="Arial" w:hAnsi="Arial"/>
          <w:b/>
          <w:bCs/>
          <w:color w:val="1A3A5C"/>
          <w:sz w:val="22"/>
          <w:szCs w:val="22"/>
        </w:rPr>
        <w:t xml:space="preserve">2.2  Subscription Period</w:t>
      </w:r>
    </w:p>
    <w:p>
      <w:pPr>
        <w:spacing w:after="120"/>
      </w:pPr>
      <w:r>
        <w:rPr>
          <w:rFonts w:ascii="Arial" w:cs="Arial" w:eastAsia="Arial" w:hAnsi="Arial"/>
          <w:color w:val="222222"/>
          <w:sz w:val="21"/>
          <w:szCs w:val="21"/>
        </w:rPr>
        <w:t xml:space="preserve">Each subscription is valid for six (6) calendar months from the date your access code is issued.</w:t>
      </w:r>
    </w:p>
    <w:p>
      <w:pPr>
        <w:spacing w:before="160" w:after="60"/>
      </w:pPr>
      <w:r>
        <w:rPr>
          <w:rFonts w:ascii="Arial" w:cs="Arial" w:eastAsia="Arial" w:hAnsi="Arial"/>
          <w:b/>
          <w:bCs/>
          <w:color w:val="1A3A5C"/>
          <w:sz w:val="22"/>
          <w:szCs w:val="22"/>
        </w:rPr>
        <w:t xml:space="preserve">2.3  Subscription Fee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1"/>
              <w:left w:val="single" w:color="AAAAAA" w:sz="1"/>
              <w:bottom w:val="single" w:color="AAAAAA" w:sz="1"/>
              <w:right w:val="single" w:color="AAAAAA" w:sz="1"/>
            </w:tcBorders>
            <w:shd w:fill="EBF2FA" w:val="clear"/>
            <w:tcMar>
              <w:top w:type="dxa" w:w="140"/>
              <w:left w:type="dxa" w:w="200"/>
              <w:bottom w:type="dxa" w:w="140"/>
              <w:right w:type="dxa" w:w="200"/>
            </w:tcMar>
          </w:tcPr>
          <w:p>
            <w:pPr>
              <w:spacing w:after="40"/>
            </w:pPr>
            <w:r>
              <w:rPr>
                <w:rFonts w:ascii="Arial" w:cs="Arial" w:eastAsia="Arial" w:hAnsi="Arial"/>
                <w:b/>
                <w:bCs/>
                <w:color w:val="1A3A5C"/>
                <w:sz w:val="21"/>
                <w:szCs w:val="21"/>
              </w:rPr>
              <w:t xml:space="preserve">Subscription Pricing</w:t>
            </w:r>
          </w:p>
          <w:p>
            <w:pPr>
              <w:spacing w:after="0"/>
            </w:pPr>
            <w:r>
              <w:rPr>
                <w:rFonts w:ascii="Arial" w:cs="Arial" w:eastAsia="Arial" w:hAnsi="Arial"/>
                <w:color w:val="333333"/>
                <w:sz w:val="21"/>
                <w:szCs w:val="21"/>
              </w:rPr>
              <w:t xml:space="preserve">0.00001 BTC  (Bitcoin)  OR  approximately $3.00 USD per 6-month access period.
Pricing is subject to change for new subscriptions. Your current period is always honored at the price you paid.</w:t>
            </w:r>
          </w:p>
        </w:tc>
      </w:tr>
    </w:tbl>
    <w:p>
      <w:pPr>
        <w:spacing w:after="160"/>
      </w:pPr>
    </w:p>
    <w:p>
      <w:pPr>
        <w:spacing w:before="160" w:after="60"/>
      </w:pPr>
      <w:r>
        <w:rPr>
          <w:rFonts w:ascii="Arial" w:cs="Arial" w:eastAsia="Arial" w:hAnsi="Arial"/>
          <w:b/>
          <w:bCs/>
          <w:color w:val="1A3A5C"/>
          <w:sz w:val="22"/>
          <w:szCs w:val="22"/>
        </w:rPr>
        <w:t xml:space="preserve">2.4  Access Codes</w:t>
      </w:r>
    </w:p>
    <w:p>
      <w:pPr>
        <w:pStyle w:val="ListParagraph"/>
        <w:numPr>
          <w:ilvl w:val="0"/>
          <w:numId w:val="2"/>
        </w:numPr>
        <w:spacing w:after="60"/>
      </w:pPr>
      <w:r>
        <w:rPr>
          <w:rFonts w:ascii="Arial" w:cs="Arial" w:eastAsia="Arial" w:hAnsi="Arial"/>
          <w:color w:val="222222"/>
          <w:sz w:val="21"/>
          <w:szCs w:val="21"/>
        </w:rPr>
        <w:t xml:space="preserve">Each purchase generates one unique access code in the format XXXX-XXXX-XXXX.</w:t>
      </w:r>
    </w:p>
    <w:p>
      <w:pPr>
        <w:pStyle w:val="ListParagraph"/>
        <w:numPr>
          <w:ilvl w:val="0"/>
          <w:numId w:val="2"/>
        </w:numPr>
        <w:spacing w:after="60"/>
      </w:pPr>
      <w:r>
        <w:rPr>
          <w:rFonts w:ascii="Arial" w:cs="Arial" w:eastAsia="Arial" w:hAnsi="Arial"/>
          <w:color w:val="222222"/>
          <w:sz w:val="21"/>
          <w:szCs w:val="21"/>
        </w:rPr>
        <w:t xml:space="preserve">Access codes are single-user and may not be shared, resold, or transferred to another person.</w:t>
      </w:r>
    </w:p>
    <w:p>
      <w:pPr>
        <w:pStyle w:val="ListParagraph"/>
        <w:numPr>
          <w:ilvl w:val="0"/>
          <w:numId w:val="2"/>
        </w:numPr>
        <w:spacing w:after="60"/>
      </w:pPr>
      <w:r>
        <w:rPr>
          <w:rFonts w:ascii="Arial" w:cs="Arial" w:eastAsia="Arial" w:hAnsi="Arial"/>
          <w:color w:val="222222"/>
          <w:sz w:val="21"/>
          <w:szCs w:val="21"/>
        </w:rPr>
        <w:t xml:space="preserve">You are responsible for keeping your access code secure. The Operator is not liable for unauthorized use resulting from your disclosure of the code.</w:t>
      </w:r>
    </w:p>
    <w:p>
      <w:pPr>
        <w:spacing w:after="120"/>
      </w:pPr>
    </w:p>
    <w:p>
      <w:pPr>
        <w:spacing w:before="160" w:after="60"/>
      </w:pPr>
      <w:r>
        <w:rPr>
          <w:rFonts w:ascii="Arial" w:cs="Arial" w:eastAsia="Arial" w:hAnsi="Arial"/>
          <w:b/>
          <w:bCs/>
          <w:color w:val="1A3A5C"/>
          <w:sz w:val="22"/>
          <w:szCs w:val="22"/>
        </w:rPr>
        <w:t xml:space="preserve">2.5  Renewal</w:t>
      </w:r>
    </w:p>
    <w:p>
      <w:pPr>
        <w:spacing w:after="120"/>
      </w:pPr>
      <w:r>
        <w:rPr>
          <w:rFonts w:ascii="Arial" w:cs="Arial" w:eastAsia="Arial" w:hAnsi="Arial"/>
          <w:color w:val="222222"/>
          <w:sz w:val="21"/>
          <w:szCs w:val="21"/>
        </w:rPr>
        <w:t xml:space="preserve">Subscriptions do not renew automatically. If you wish to continue after your six-month period expires, you must purchase a new subscription and receive a new access code.</w:t>
      </w:r>
    </w:p>
    <w:p>
      <w:pPr>
        <w:pStyle w:val="Heading1"/>
        <w:spacing w:before="280" w:after="80"/>
      </w:pPr>
      <w:r>
        <w:rPr>
          <w:rFonts w:ascii="Arial" w:cs="Arial" w:eastAsia="Arial" w:hAnsi="Arial"/>
          <w:b/>
          <w:bCs/>
          <w:color w:val="1A3A5C"/>
          <w:sz w:val="26"/>
          <w:szCs w:val="26"/>
        </w:rPr>
        <w:t xml:space="preserve">3.  Payment</w:t>
      </w:r>
    </w:p>
    <w:p>
      <w:pPr>
        <w:spacing w:before="160" w:after="60"/>
      </w:pPr>
      <w:r>
        <w:rPr>
          <w:rFonts w:ascii="Arial" w:cs="Arial" w:eastAsia="Arial" w:hAnsi="Arial"/>
          <w:b/>
          <w:bCs/>
          <w:color w:val="1A3A5C"/>
          <w:sz w:val="22"/>
          <w:szCs w:val="22"/>
        </w:rPr>
        <w:t xml:space="preserve">3.1  Bitcoin Payments</w:t>
      </w:r>
    </w:p>
    <w:p>
      <w:pPr>
        <w:spacing w:after="120"/>
      </w:pPr>
      <w:r>
        <w:rPr>
          <w:rFonts w:ascii="Arial" w:cs="Arial" w:eastAsia="Arial" w:hAnsi="Arial"/>
          <w:color w:val="222222"/>
          <w:sz w:val="21"/>
          <w:szCs w:val="21"/>
        </w:rPr>
        <w:t xml:space="preserve">Payments in Bitcoin (BTC) are processed through OpenNode, a third-party payment processor. Bitcoin transactions are irreversible once confirmed on the blockchain. You are responsible for sending the correct amount to the correct payment address provided at checkout.</w:t>
      </w:r>
    </w:p>
    <w:p>
      <w:pPr>
        <w:spacing w:before="160" w:after="60"/>
      </w:pPr>
      <w:r>
        <w:rPr>
          <w:rFonts w:ascii="Arial" w:cs="Arial" w:eastAsia="Arial" w:hAnsi="Arial"/>
          <w:b/>
          <w:bCs/>
          <w:color w:val="1A3A5C"/>
          <w:sz w:val="22"/>
          <w:szCs w:val="22"/>
        </w:rPr>
        <w:t xml:space="preserve">3.2  USD Payments</w:t>
      </w:r>
    </w:p>
    <w:p>
      <w:pPr>
        <w:spacing w:after="120"/>
      </w:pPr>
      <w:r>
        <w:rPr>
          <w:rFonts w:ascii="Arial" w:cs="Arial" w:eastAsia="Arial" w:hAnsi="Arial"/>
          <w:color w:val="222222"/>
          <w:sz w:val="21"/>
          <w:szCs w:val="21"/>
        </w:rPr>
        <w:t xml:space="preserve">USD-equivalent payment options may be offered at the Operator's discretion. The USD price shown at checkout is an approximation based on the current BTC/USD exchange rate and may fluctuate.</w:t>
      </w:r>
    </w:p>
    <w:p>
      <w:pPr>
        <w:spacing w:before="160" w:after="60"/>
      </w:pPr>
      <w:r>
        <w:rPr>
          <w:rFonts w:ascii="Arial" w:cs="Arial" w:eastAsia="Arial" w:hAnsi="Arial"/>
          <w:b/>
          <w:bCs/>
          <w:color w:val="1A3A5C"/>
          <w:sz w:val="22"/>
          <w:szCs w:val="22"/>
        </w:rPr>
        <w:t xml:space="preserve">3.3  No Refunds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1"/>
              <w:left w:val="single" w:color="AAAAAA" w:sz="1"/>
              <w:bottom w:val="single" w:color="AAAAAA" w:sz="1"/>
              <w:right w:val="single" w:color="AAAAAA" w:sz="1"/>
            </w:tcBorders>
            <w:shd w:fill="FFF3CD" w:val="clear"/>
            <w:tcMar>
              <w:top w:type="dxa" w:w="140"/>
              <w:left w:type="dxa" w:w="200"/>
              <w:bottom w:type="dxa" w:w="140"/>
              <w:right w:type="dxa" w:w="200"/>
            </w:tcMar>
          </w:tcPr>
          <w:p>
            <w:pPr>
              <w:spacing w:after="40"/>
            </w:pPr>
            <w:r>
              <w:rPr>
                <w:rFonts w:ascii="Arial" w:cs="Arial" w:eastAsia="Arial" w:hAnsi="Arial"/>
                <w:b/>
                <w:bCs/>
                <w:color w:val="B07800"/>
                <w:sz w:val="21"/>
                <w:szCs w:val="21"/>
              </w:rPr>
              <w:t xml:space="preserve">Refund Policy</w:t>
            </w:r>
          </w:p>
          <w:p>
            <w:pPr>
              <w:spacing w:after="0"/>
            </w:pPr>
            <w:r>
              <w:rPr>
                <w:rFonts w:ascii="Arial" w:cs="Arial" w:eastAsia="Arial" w:hAnsi="Arial"/>
                <w:color w:val="333333"/>
                <w:sz w:val="21"/>
                <w:szCs w:val="21"/>
              </w:rPr>
              <w:t xml:space="preserve">All sales are final. Because subscription access is delivered digitally and immediately upon payment confirmation, no refunds, chargebacks, or credits will be issued once an access code has been generated and delivered. If you experience a technical issue with your access code, contact us at matt.nettleton@dtbtraining.com within 7 days.</w:t>
            </w:r>
          </w:p>
        </w:tc>
      </w:tr>
    </w:tbl>
    <w:p>
      <w:pPr>
        <w:spacing w:after="160"/>
      </w:pPr>
    </w:p>
    <w:p>
      <w:pPr>
        <w:pStyle w:val="Heading1"/>
        <w:spacing w:before="280" w:after="80"/>
      </w:pPr>
      <w:r>
        <w:rPr>
          <w:rFonts w:ascii="Arial" w:cs="Arial" w:eastAsia="Arial" w:hAnsi="Arial"/>
          <w:b/>
          <w:bCs/>
          <w:color w:val="1A3A5C"/>
          <w:sz w:val="26"/>
          <w:szCs w:val="26"/>
        </w:rPr>
        <w:t xml:space="preserve">4.  Acceptable Use</w:t>
      </w:r>
    </w:p>
    <w:p>
      <w:pPr>
        <w:spacing w:after="120"/>
      </w:pPr>
      <w:r>
        <w:rPr>
          <w:rFonts w:ascii="Arial" w:cs="Arial" w:eastAsia="Arial" w:hAnsi="Arial"/>
          <w:color w:val="222222"/>
          <w:sz w:val="21"/>
          <w:szCs w:val="21"/>
        </w:rPr>
        <w:t xml:space="preserve">By subscribing, you agree that you will:</w:t>
      </w:r>
    </w:p>
    <w:p>
      <w:pPr>
        <w:pStyle w:val="ListParagraph"/>
        <w:numPr>
          <w:ilvl w:val="0"/>
          <w:numId w:val="2"/>
        </w:numPr>
        <w:spacing w:after="60"/>
      </w:pPr>
      <w:r>
        <w:rPr>
          <w:rFonts w:ascii="Arial" w:cs="Arial" w:eastAsia="Arial" w:hAnsi="Arial"/>
          <w:color w:val="222222"/>
          <w:sz w:val="21"/>
          <w:szCs w:val="21"/>
        </w:rPr>
        <w:t xml:space="preserve">Use the Game solely for personal, non-commercial entertainment purposes.</w:t>
      </w:r>
    </w:p>
    <w:p>
      <w:pPr>
        <w:pStyle w:val="ListParagraph"/>
        <w:numPr>
          <w:ilvl w:val="0"/>
          <w:numId w:val="2"/>
        </w:numPr>
        <w:spacing w:after="60"/>
      </w:pPr>
      <w:r>
        <w:rPr>
          <w:rFonts w:ascii="Arial" w:cs="Arial" w:eastAsia="Arial" w:hAnsi="Arial"/>
          <w:color w:val="222222"/>
          <w:sz w:val="21"/>
          <w:szCs w:val="21"/>
        </w:rPr>
        <w:t xml:space="preserve">Not attempt to reverse-engineer, copy, redistribute, or resell the Game or any portion of its code.</w:t>
      </w:r>
    </w:p>
    <w:p>
      <w:pPr>
        <w:pStyle w:val="ListParagraph"/>
        <w:numPr>
          <w:ilvl w:val="0"/>
          <w:numId w:val="2"/>
        </w:numPr>
        <w:spacing w:after="60"/>
      </w:pPr>
      <w:r>
        <w:rPr>
          <w:rFonts w:ascii="Arial" w:cs="Arial" w:eastAsia="Arial" w:hAnsi="Arial"/>
          <w:color w:val="222222"/>
          <w:sz w:val="21"/>
          <w:szCs w:val="21"/>
        </w:rPr>
        <w:t xml:space="preserve">Not share your access code with others or use it on more than one concurrent session at a time.</w:t>
      </w:r>
    </w:p>
    <w:p>
      <w:pPr>
        <w:pStyle w:val="ListParagraph"/>
        <w:numPr>
          <w:ilvl w:val="0"/>
          <w:numId w:val="2"/>
        </w:numPr>
        <w:spacing w:after="60"/>
      </w:pPr>
      <w:r>
        <w:rPr>
          <w:rFonts w:ascii="Arial" w:cs="Arial" w:eastAsia="Arial" w:hAnsi="Arial"/>
          <w:color w:val="222222"/>
          <w:sz w:val="21"/>
          <w:szCs w:val="21"/>
        </w:rPr>
        <w:t xml:space="preserve">Not use automated bots, scripts, or other tools to interact with the Game.</w:t>
      </w:r>
    </w:p>
    <w:p>
      <w:pPr>
        <w:pStyle w:val="ListParagraph"/>
        <w:numPr>
          <w:ilvl w:val="0"/>
          <w:numId w:val="2"/>
        </w:numPr>
        <w:spacing w:after="60"/>
      </w:pPr>
      <w:r>
        <w:rPr>
          <w:rFonts w:ascii="Arial" w:cs="Arial" w:eastAsia="Arial" w:hAnsi="Arial"/>
          <w:color w:val="222222"/>
          <w:sz w:val="21"/>
          <w:szCs w:val="21"/>
        </w:rPr>
        <w:t xml:space="preserve">Not attempt to exploit bugs or vulnerabilities in the Game for unfair advantage or to harm the service.</w:t>
      </w:r>
    </w:p>
    <w:p>
      <w:pPr>
        <w:spacing w:after="120"/>
      </w:pPr>
    </w:p>
    <w:p>
      <w:pPr>
        <w:spacing w:after="120"/>
      </w:pPr>
      <w:r>
        <w:rPr>
          <w:rFonts w:ascii="Arial" w:cs="Arial" w:eastAsia="Arial" w:hAnsi="Arial"/>
          <w:color w:val="222222"/>
          <w:sz w:val="21"/>
          <w:szCs w:val="21"/>
        </w:rPr>
        <w:t xml:space="preserve">Violation of any acceptable use provision may result in immediate revocation of your access code without refund and, if applicable, reporting to relevant authorities.</w:t>
      </w:r>
    </w:p>
    <w:p>
      <w:pPr>
        <w:pStyle w:val="Heading1"/>
        <w:spacing w:before="280" w:after="80"/>
      </w:pPr>
      <w:r>
        <w:rPr>
          <w:rFonts w:ascii="Arial" w:cs="Arial" w:eastAsia="Arial" w:hAnsi="Arial"/>
          <w:b/>
          <w:bCs/>
          <w:color w:val="1A3A5C"/>
          <w:sz w:val="26"/>
          <w:szCs w:val="26"/>
        </w:rPr>
        <w:t xml:space="preserve">5.  Intellectual Property</w:t>
      </w:r>
    </w:p>
    <w:p>
      <w:pPr>
        <w:spacing w:after="120"/>
      </w:pPr>
      <w:r>
        <w:rPr>
          <w:rFonts w:ascii="Arial" w:cs="Arial" w:eastAsia="Arial" w:hAnsi="Arial"/>
          <w:color w:val="222222"/>
          <w:sz w:val="21"/>
          <w:szCs w:val="21"/>
        </w:rPr>
        <w:t xml:space="preserve">All game content, code, artwork, text, names, and related materials are the exclusive property of the Operator. Your subscription grants you a limited, revocable license to access and play the Game. No ownership interest in the Game or its intellectual property is transferred by this subscription.</w:t>
      </w:r>
    </w:p>
    <w:p>
      <w:pPr>
        <w:pStyle w:val="Heading1"/>
        <w:spacing w:before="280" w:after="80"/>
      </w:pPr>
      <w:r>
        <w:rPr>
          <w:rFonts w:ascii="Arial" w:cs="Arial" w:eastAsia="Arial" w:hAnsi="Arial"/>
          <w:b/>
          <w:bCs/>
          <w:color w:val="1A3A5C"/>
          <w:sz w:val="26"/>
          <w:szCs w:val="26"/>
        </w:rPr>
        <w:t xml:space="preserve">6.  Service Availability</w:t>
      </w:r>
    </w:p>
    <w:p>
      <w:pPr>
        <w:spacing w:after="120"/>
      </w:pPr>
      <w:r>
        <w:rPr>
          <w:rFonts w:ascii="Arial" w:cs="Arial" w:eastAsia="Arial" w:hAnsi="Arial"/>
          <w:color w:val="222222"/>
          <w:sz w:val="21"/>
          <w:szCs w:val="21"/>
        </w:rPr>
        <w:t xml:space="preserve">The Operator will make reasonable efforts to keep the Game available during your subscription period. However, we do not guarantee uninterrupted or error-free access. Scheduled maintenance, hosting outages, or unforeseen technical issues may cause temporary downtime. Downtime of less than 72 consecutive hours does not entitle the Subscriber to a refund or extension. For extended outages, the Operator may, at its sole discretion, extend the affected subscription.</w:t>
      </w:r>
    </w:p>
    <w:p>
      <w:pPr>
        <w:pStyle w:val="Heading1"/>
        <w:spacing w:before="280" w:after="80"/>
      </w:pPr>
      <w:r>
        <w:rPr>
          <w:rFonts w:ascii="Arial" w:cs="Arial" w:eastAsia="Arial" w:hAnsi="Arial"/>
          <w:b/>
          <w:bCs/>
          <w:color w:val="1A3A5C"/>
          <w:sz w:val="26"/>
          <w:szCs w:val="26"/>
        </w:rPr>
        <w:t xml:space="preserve">7.  Privacy</w:t>
      </w:r>
    </w:p>
    <w:p>
      <w:pPr>
        <w:spacing w:after="120"/>
      </w:pPr>
      <w:r>
        <w:rPr>
          <w:rFonts w:ascii="Arial" w:cs="Arial" w:eastAsia="Arial" w:hAnsi="Arial"/>
          <w:color w:val="222222"/>
          <w:sz w:val="21"/>
          <w:szCs w:val="21"/>
        </w:rPr>
        <w:t xml:space="preserve">The Operator collects only the email address you provide at checkout, used solely to deliver your access code and send important service notifications. We do not sell or share your email with third parties. Bitcoin payment data is processed entirely by OpenNode and subject to their privacy policy. We do not store your payment information.</w:t>
      </w:r>
    </w:p>
    <w:p>
      <w:pPr>
        <w:pStyle w:val="Heading1"/>
        <w:spacing w:before="280" w:after="80"/>
      </w:pPr>
      <w:r>
        <w:rPr>
          <w:rFonts w:ascii="Arial" w:cs="Arial" w:eastAsia="Arial" w:hAnsi="Arial"/>
          <w:b/>
          <w:bCs/>
          <w:color w:val="1A3A5C"/>
          <w:sz w:val="26"/>
          <w:szCs w:val="26"/>
        </w:rPr>
        <w:t xml:space="preserve">8.  Disclaimer of Warranties</w:t>
      </w:r>
    </w:p>
    <w:p>
      <w:pPr>
        <w:spacing w:after="120"/>
      </w:pPr>
      <w:r>
        <w:rPr>
          <w:rFonts w:ascii="Arial" w:cs="Arial" w:eastAsia="Arial" w:hAnsi="Arial"/>
          <w:color w:val="222222"/>
          <w:sz w:val="21"/>
          <w:szCs w:val="21"/>
        </w:rPr>
        <w:t xml:space="preserve">THE GAME IS PROVIDED "AS IS" WITHOUT WARRANTY OF ANY KIND, EXPRESS OR IMPLIED, INCLUDING BUT NOT LIMITED TO WARRANTIES OF MERCHANTABILITY, FITNESS FOR A PARTICULAR PURPOSE, OR NON-INFRINGEMENT. THE OPERATOR DOES NOT WARRANT THAT THE GAME WILL BE CONTINUOUSLY AVAILABLE, ERROR-FREE, OR MEET YOUR EXPECTATIONS.</w:t>
      </w:r>
    </w:p>
    <w:p>
      <w:pPr>
        <w:pStyle w:val="Heading1"/>
        <w:spacing w:before="280" w:after="80"/>
      </w:pPr>
      <w:r>
        <w:rPr>
          <w:rFonts w:ascii="Arial" w:cs="Arial" w:eastAsia="Arial" w:hAnsi="Arial"/>
          <w:b/>
          <w:bCs/>
          <w:color w:val="1A3A5C"/>
          <w:sz w:val="26"/>
          <w:szCs w:val="26"/>
        </w:rPr>
        <w:t xml:space="preserve">9.  Limitation of Liability</w:t>
      </w:r>
    </w:p>
    <w:p>
      <w:pPr>
        <w:spacing w:after="120"/>
      </w:pPr>
      <w:r>
        <w:rPr>
          <w:rFonts w:ascii="Arial" w:cs="Arial" w:eastAsia="Arial" w:hAnsi="Arial"/>
          <w:color w:val="222222"/>
          <w:sz w:val="21"/>
          <w:szCs w:val="21"/>
        </w:rPr>
        <w:t xml:space="preserve">TO THE MAXIMUM EXTENT PERMITTED BY APPLICABLE LAW, THE OPERATOR SHALL NOT BE LIABLE FOR ANY INDIRECT, INCIDENTAL, SPECIAL, OR CONSEQUENTIAL DAMAGES ARISING FROM YOUR USE OF, OR INABILITY TO USE, THE GAME. IN ANY CASE, THE OPERATOR'S TOTAL LIABILITY TO YOU SHALL NOT EXCEED THE AMOUNT YOU PAID FOR YOUR CURRENT SUBSCRIPTION.</w:t>
      </w:r>
    </w:p>
    <w:p>
      <w:pPr>
        <w:pStyle w:val="Heading1"/>
        <w:spacing w:before="280" w:after="80"/>
      </w:pPr>
      <w:r>
        <w:rPr>
          <w:rFonts w:ascii="Arial" w:cs="Arial" w:eastAsia="Arial" w:hAnsi="Arial"/>
          <w:b/>
          <w:bCs/>
          <w:color w:val="1A3A5C"/>
          <w:sz w:val="26"/>
          <w:szCs w:val="26"/>
        </w:rPr>
        <w:t xml:space="preserve">10.  Changes to These Terms</w:t>
      </w:r>
    </w:p>
    <w:p>
      <w:pPr>
        <w:spacing w:after="120"/>
      </w:pPr>
      <w:r>
        <w:rPr>
          <w:rFonts w:ascii="Arial" w:cs="Arial" w:eastAsia="Arial" w:hAnsi="Arial"/>
          <w:color w:val="222222"/>
          <w:sz w:val="21"/>
          <w:szCs w:val="21"/>
        </w:rPr>
        <w:t xml:space="preserve">The Operator reserves the right to update these Terms at any time. Changes will be posted on the Game's website and take effect for new subscriptions immediately. Existing subscribers will be notified by email at least 14 days before any material change affects their active subscription period.</w:t>
      </w:r>
    </w:p>
    <w:p>
      <w:pPr>
        <w:pStyle w:val="Heading1"/>
        <w:spacing w:before="280" w:after="80"/>
      </w:pPr>
      <w:r>
        <w:rPr>
          <w:rFonts w:ascii="Arial" w:cs="Arial" w:eastAsia="Arial" w:hAnsi="Arial"/>
          <w:b/>
          <w:bCs/>
          <w:color w:val="1A3A5C"/>
          <w:sz w:val="26"/>
          <w:szCs w:val="26"/>
        </w:rPr>
        <w:t xml:space="preserve">11.  Termination</w:t>
      </w:r>
    </w:p>
    <w:p>
      <w:pPr>
        <w:spacing w:after="120"/>
      </w:pPr>
      <w:r>
        <w:rPr>
          <w:rFonts w:ascii="Arial" w:cs="Arial" w:eastAsia="Arial" w:hAnsi="Arial"/>
          <w:color w:val="222222"/>
          <w:sz w:val="21"/>
          <w:szCs w:val="21"/>
        </w:rPr>
        <w:t xml:space="preserve">The Operator may suspend or terminate your access code immediately, without notice, if you violate these Terms. Upon termination, your license to access the Game ceases immediately and no refund will be issued. You may terminate your subscription at any time by simply not renewing — no cancellation action is required.</w:t>
      </w:r>
    </w:p>
    <w:p>
      <w:pPr>
        <w:pStyle w:val="Heading1"/>
        <w:spacing w:before="280" w:after="80"/>
      </w:pPr>
      <w:r>
        <w:rPr>
          <w:rFonts w:ascii="Arial" w:cs="Arial" w:eastAsia="Arial" w:hAnsi="Arial"/>
          <w:b/>
          <w:bCs/>
          <w:color w:val="1A3A5C"/>
          <w:sz w:val="26"/>
          <w:szCs w:val="26"/>
        </w:rPr>
        <w:t xml:space="preserve">12.  Governing Law</w:t>
      </w:r>
    </w:p>
    <w:p>
      <w:pPr>
        <w:spacing w:after="120"/>
      </w:pPr>
      <w:r>
        <w:rPr>
          <w:rFonts w:ascii="Arial" w:cs="Arial" w:eastAsia="Arial" w:hAnsi="Arial"/>
          <w:color w:val="222222"/>
          <w:sz w:val="21"/>
          <w:szCs w:val="21"/>
        </w:rPr>
        <w:t xml:space="preserve">These Terms shall be governed by and construed in accordance with the laws of the State of Indiana, United States, without regard to its conflict-of-law principles. Any disputes arising under these Terms shall be resolved in the state or federal courts located in Marion County, Indiana.</w:t>
      </w:r>
    </w:p>
    <w:p>
      <w:pPr>
        <w:pStyle w:val="Heading1"/>
        <w:spacing w:before="280" w:after="80"/>
      </w:pPr>
      <w:r>
        <w:rPr>
          <w:rFonts w:ascii="Arial" w:cs="Arial" w:eastAsia="Arial" w:hAnsi="Arial"/>
          <w:b/>
          <w:bCs/>
          <w:color w:val="1A3A5C"/>
          <w:sz w:val="26"/>
          <w:szCs w:val="26"/>
        </w:rPr>
        <w:t xml:space="preserve">13.  Contact</w:t>
      </w:r>
    </w:p>
    <w:p>
      <w:pPr>
        <w:spacing w:after="120"/>
      </w:pPr>
      <w:r>
        <w:rPr>
          <w:rFonts w:ascii="Arial" w:cs="Arial" w:eastAsia="Arial" w:hAnsi="Arial"/>
          <w:color w:val="222222"/>
          <w:sz w:val="21"/>
          <w:szCs w:val="21"/>
        </w:rPr>
        <w:t xml:space="preserve">For questions about these Terms, access code issues, or service concerns, contact:</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1"/>
              <w:left w:val="single" w:color="AAAAAA" w:sz="1"/>
              <w:bottom w:val="single" w:color="AAAAAA" w:sz="1"/>
              <w:right w:val="single" w:color="AAAAAA" w:sz="1"/>
            </w:tcBorders>
            <w:shd w:fill="EBF2FA" w:val="clear"/>
            <w:tcMar>
              <w:top w:type="dxa" w:w="140"/>
              <w:left w:type="dxa" w:w="200"/>
              <w:bottom w:type="dxa" w:w="140"/>
              <w:right w:type="dxa" w:w="200"/>
            </w:tcMar>
          </w:tcPr>
          <w:p>
            <w:pPr>
              <w:spacing w:after="40"/>
            </w:pPr>
            <w:r>
              <w:rPr>
                <w:rFonts w:ascii="Arial" w:cs="Arial" w:eastAsia="Arial" w:hAnsi="Arial"/>
                <w:b/>
                <w:bCs/>
                <w:color w:val="1A3A5C"/>
                <w:sz w:val="21"/>
                <w:szCs w:val="21"/>
              </w:rPr>
              <w:t xml:space="preserve">Spaceward Trader — Subscriber Support</w:t>
            </w:r>
          </w:p>
          <w:p>
            <w:pPr>
              <w:spacing w:after="0"/>
            </w:pPr>
            <w:r>
              <w:rPr>
                <w:rFonts w:ascii="Arial" w:cs="Arial" w:eastAsia="Arial" w:hAnsi="Arial"/>
                <w:color w:val="333333"/>
                <w:sz w:val="21"/>
                <w:szCs w:val="21"/>
              </w:rPr>
              <w:t xml:space="preserve">Email: matt.nettleton@dtbtraining.com
Response time: within 2 business days</w:t>
            </w:r>
          </w:p>
        </w:tc>
      </w:tr>
    </w:tbl>
    <w:p>
      <w:pPr>
        <w:spacing w:after="300"/>
      </w:pPr>
    </w:p>
    <w:p>
      <w:pPr>
        <w:pBdr>
          <w:bottom w:val="single" w:color="F7931A" w:sz="6" w:space="1"/>
        </w:pBdr>
        <w:spacing w:after="160"/>
      </w:pPr>
    </w:p>
    <w:p>
      <w:pPr>
        <w:spacing w:before="160" w:after="60"/>
        <w:jc w:val="center"/>
      </w:pPr>
      <w:r>
        <w:rPr>
          <w:rFonts w:ascii="Arial" w:cs="Arial" w:eastAsia="Arial" w:hAnsi="Arial"/>
          <w:i/>
          <w:iCs/>
          <w:color w:val="555555"/>
          <w:sz w:val="19"/>
          <w:szCs w:val="19"/>
        </w:rPr>
        <w:t xml:space="preserve">By completing your subscription purchase, you acknowledge that you have read,</w:t>
      </w:r>
    </w:p>
    <w:p>
      <w:pPr>
        <w:spacing w:after="200"/>
        <w:jc w:val="center"/>
      </w:pPr>
      <w:r>
        <w:rPr>
          <w:rFonts w:ascii="Arial" w:cs="Arial" w:eastAsia="Arial" w:hAnsi="Arial"/>
          <w:i/>
          <w:iCs/>
          <w:color w:val="555555"/>
          <w:sz w:val="19"/>
          <w:szCs w:val="19"/>
        </w:rPr>
        <w:t xml:space="preserve">understood, and agree to be bound by these Terms and Conditions.</w:t>
      </w:r>
    </w:p>
    <w:p>
      <w:pPr>
        <w:jc w:val="center"/>
      </w:pPr>
      <w:r>
        <w:rPr>
          <w:rFonts w:ascii="Arial" w:cs="Arial" w:eastAsia="Arial" w:hAnsi="Arial"/>
          <w:b/>
          <w:bCs/>
          <w:color w:val="F7931A"/>
          <w:sz w:val="22"/>
          <w:szCs w:val="22"/>
        </w:rPr>
        <w:t xml:space="preserve">★  SPACEWARD TRADER  ★</w:t>
      </w:r>
    </w:p>
    <w:sectPr>
      <w:headerReference w:type="default" r:id="rId6"/>
      <w:footerReference w:type="default" r:id="rId7"/>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F7931A" w:sz="4" w:space="1"/>
      </w:pBdr>
      <w:spacing w:before="80"/>
      <w:jc w:val="center"/>
    </w:pPr>
    <w:r>
      <w:rPr>
        <w:rFonts w:ascii="Arial" w:cs="Arial" w:eastAsia="Arial" w:hAnsi="Arial"/>
        <w:color w:val="888888"/>
        <w:sz w:val="18"/>
        <w:szCs w:val="18"/>
      </w:rPr>
      <w:t xml:space="preserve">Page </w:t>
    </w:r>
    <w:r>
      <w:rPr>
        <w:rFonts w:ascii="Arial" w:cs="Arial" w:eastAsia="Arial" w:hAnsi="Arial"/>
        <w:color w:val="888888"/>
        <w:sz w:val="18"/>
        <w:szCs w:val="18"/>
      </w:rPr>
      <w:fldChar w:fldCharType="begin"/>
      <w:instrText xml:space="preserve">PAGE</w:instrText>
      <w:fldChar w:fldCharType="separate"/>
      <w:fldChar w:fldCharType="end"/>
    </w:r>
    <w:r>
      <w:rPr>
        <w:rFonts w:ascii="Arial" w:cs="Arial" w:eastAsia="Arial" w:hAnsi="Arial"/>
        <w:color w:val="888888"/>
        <w:sz w:val="18"/>
        <w:szCs w:val="18"/>
      </w:rPr>
      <w:t xml:space="preserve"> of </w:t>
    </w:r>
    <w:r>
      <w:rPr>
        <w:rFonts w:ascii="Arial" w:cs="Arial" w:eastAsia="Arial" w:hAnsi="Arial"/>
        <w:color w:val="888888"/>
        <w:sz w:val="18"/>
        <w:szCs w:val="18"/>
      </w:rPr>
      <w:fldChar w:fldCharType="begin"/>
      <w:instrText xml:space="preserve">NUMPAGES</w:instrText>
      <w:fldChar w:fldCharType="separate"/>
      <w:fldChar w:fldCharType="end"/>
    </w:r>
    <w:r>
      <w:rPr>
        <w:rFonts w:ascii="Arial" w:cs="Arial" w:eastAsia="Arial" w:hAnsi="Arial"/>
        <w:color w:val="888888"/>
        <w:sz w:val="18"/>
        <w:szCs w:val="18"/>
      </w:rPr>
      <w:t xml:space="preserve">     |     Spaceward Trader     |     matt.nettleton@dtbtraining.com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F7931A" w:sz="4" w:space="1"/>
      </w:pBdr>
      <w:spacing w:after="80"/>
    </w:pPr>
    <w:r>
      <w:rPr>
        <w:rFonts w:ascii="Arial" w:cs="Arial" w:eastAsia="Arial" w:hAnsi="Arial"/>
        <w:b/>
        <w:bCs/>
        <w:color w:val="1A3A5C"/>
        <w:sz w:val="20"/>
        <w:szCs w:val="20"/>
      </w:rPr>
      <w:t xml:space="preserve">SPACEWARD TRADER</w:t>
    </w:r>
    <w:r>
      <w:rPr>
        <w:rFonts w:ascii="Arial" w:cs="Arial" w:eastAsia="Arial" w:hAnsi="Arial"/>
        <w:color w:val="666666"/>
        <w:sz w:val="20"/>
        <w:szCs w:val="20"/>
      </w:rPr>
      <w:t xml:space="preserve">  —  Terms &amp; Conditions of Subscription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80" w:after="80"/>
      <w:outlineLvl w:val="0"/>
    </w:pPr>
    <w:rPr>
      <w:rFonts w:ascii="Arial" w:cs="Arial" w:eastAsia="Arial" w:hAnsi="Arial"/>
      <w:b/>
      <w:bCs/>
      <w:color w:val="1A3A5C"/>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2026-03-09T22:34:24.964Z</dcterms:created>
  <dcterms:modified xsi:type="dcterms:W3CDTF">2026-03-09T22:34:24.965Z</dcterms:modified>
</cp:coreProperties>
</file>

<file path=docProps/custom.xml><?xml version="1.0" encoding="utf-8"?>
<Properties xmlns="http://schemas.openxmlformats.org/officeDocument/2006/custom-properties" xmlns:vt="http://schemas.openxmlformats.org/officeDocument/2006/docPropsVTypes"/>
</file>